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71E2" w:rsidRDefault="00EE622C">
      <w:pPr>
        <w:pStyle w:val="BodyText2"/>
        <w:spacing w:line="240" w:lineRule="auto"/>
        <w:rPr>
          <w:rFonts w:ascii="Arial" w:hAnsi="Arial" w:cs="Arial"/>
          <w:b/>
          <w:bCs/>
          <w:sz w:val="32"/>
          <w:szCs w:val="32"/>
          <w:lang w:val="pl-PL"/>
        </w:rPr>
      </w:pPr>
      <w:r>
        <w:rPr>
          <w:rFonts w:ascii="Arial" w:hAnsi="Arial" w:cs="Arial"/>
          <w:b/>
          <w:bCs/>
          <w:sz w:val="32"/>
          <w:szCs w:val="32"/>
          <w:lang w:val="pl-PL"/>
        </w:rPr>
        <w:t xml:space="preserve">List </w:t>
      </w:r>
      <w:r w:rsidR="00081B14">
        <w:rPr>
          <w:rFonts w:ascii="Arial" w:hAnsi="Arial" w:cs="Arial"/>
          <w:b/>
          <w:bCs/>
          <w:sz w:val="32"/>
          <w:szCs w:val="32"/>
          <w:lang w:val="pl-PL"/>
        </w:rPr>
        <w:t>świąteczny od rodziny manekinów testów zderzeniowych Forda</w:t>
      </w:r>
      <w:r>
        <w:rPr>
          <w:rFonts w:ascii="Arial" w:hAnsi="Arial" w:cs="Arial"/>
          <w:b/>
          <w:bCs/>
          <w:sz w:val="32"/>
          <w:szCs w:val="32"/>
          <w:lang w:val="pl-PL"/>
        </w:rPr>
        <w:t>.</w:t>
      </w:r>
      <w:bookmarkStart w:id="0" w:name="_GoBack"/>
      <w:bookmarkEnd w:id="0"/>
    </w:p>
    <w:p w:rsidR="004071E2" w:rsidRDefault="004071E2">
      <w:pPr>
        <w:pStyle w:val="BodyText2"/>
        <w:spacing w:line="240" w:lineRule="auto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071E2" w:rsidRDefault="00081B14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>
            <wp:extent cx="5943600" cy="3962400"/>
            <wp:effectExtent l="0" t="0" r="0" b="0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E2" w:rsidRDefault="004071E2">
      <w:pPr>
        <w:rPr>
          <w:lang w:val="pl-PL"/>
        </w:rPr>
      </w:pPr>
    </w:p>
    <w:p w:rsidR="004071E2" w:rsidRDefault="00081B14">
      <w:pPr>
        <w:rPr>
          <w:rFonts w:ascii="MV Boli" w:hAnsi="MV Boli" w:cs="MV Boli"/>
          <w:sz w:val="24"/>
          <w:lang w:val="pl-PL"/>
        </w:rPr>
      </w:pPr>
      <w:r>
        <w:rPr>
          <w:rFonts w:ascii="MV Boli" w:hAnsi="MV Boli" w:cs="MV Boli"/>
          <w:sz w:val="24"/>
          <w:lang w:val="pl-PL"/>
        </w:rPr>
        <w:t>Drodzy</w:t>
      </w:r>
      <w:r w:rsidR="006B75EB">
        <w:rPr>
          <w:rFonts w:ascii="MV Boli" w:hAnsi="MV Boli" w:cs="MV Boli"/>
          <w:sz w:val="24"/>
          <w:lang w:val="pl-PL"/>
        </w:rPr>
        <w:t xml:space="preserve"> Przyjaciele</w:t>
      </w:r>
      <w:r>
        <w:rPr>
          <w:rFonts w:ascii="MV Boli" w:hAnsi="MV Boli" w:cs="MV Boli"/>
          <w:sz w:val="24"/>
          <w:lang w:val="pl-PL"/>
        </w:rPr>
        <w:t>,</w:t>
      </w:r>
    </w:p>
    <w:p w:rsidR="004071E2" w:rsidRDefault="004071E2">
      <w:pPr>
        <w:rPr>
          <w:rFonts w:ascii="MV Boli" w:hAnsi="MV Boli" w:cs="MV Boli"/>
          <w:sz w:val="24"/>
          <w:lang w:val="pl-PL"/>
        </w:rPr>
      </w:pPr>
    </w:p>
    <w:p w:rsidR="004071E2" w:rsidRDefault="00081B14">
      <w:pPr>
        <w:rPr>
          <w:rFonts w:ascii="MV Boli" w:hAnsi="MV Boli" w:cs="MV Boli"/>
          <w:sz w:val="24"/>
          <w:lang w:val="pl-PL"/>
        </w:rPr>
      </w:pPr>
      <w:r>
        <w:rPr>
          <w:rFonts w:ascii="MV Boli" w:hAnsi="MV Boli" w:cs="MV Boli"/>
          <w:sz w:val="24"/>
          <w:lang w:val="pl-PL"/>
        </w:rPr>
        <w:t xml:space="preserve">Zbliżamy się do końca pierwszego roku w naszym nowym domu - kosztującej 15,5 miliona euro hali zderzeniowej w </w:t>
      </w: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 xml:space="preserve">Centrum Technicznym </w:t>
      </w:r>
      <w:proofErr w:type="spellStart"/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Merkenich</w:t>
      </w:r>
      <w:proofErr w:type="spellEnd"/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 xml:space="preserve">. Pomyśleliśmy więc, że damy </w:t>
      </w:r>
      <w:r w:rsidR="006B75EB"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Wam</w:t>
      </w: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 xml:space="preserve"> znać, jak sobie radzimy.</w:t>
      </w:r>
    </w:p>
    <w:p w:rsidR="004071E2" w:rsidRDefault="004071E2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</w:p>
    <w:p w:rsidR="004071E2" w:rsidRDefault="00081B14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Axel i ja przeżyliśmy jeden z najbardziej pracowitych sezon</w:t>
      </w: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ów testów zderzeniowych, również w nowym Fordzie Pumie. Z przyjemnością informujemy, że pomimo kilku otarć udało nam się przejść przez to wszystko bez większych urazów. Chociaż nowe testy były trudniejsze niż kiedykolwiek wcześniej, pomogliśmy Pumie uzyska</w:t>
      </w: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ć 5 gwiazdek w rankingu Euro NCAP oraz wynik 94% za ochronę dorosłych pasażerów.</w:t>
      </w:r>
    </w:p>
    <w:p w:rsidR="004071E2" w:rsidRDefault="004071E2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</w:p>
    <w:p w:rsidR="004071E2" w:rsidRDefault="00081B14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lastRenderedPageBreak/>
        <w:t>Podobnie jak wiele rodzin, bardzo interesowaliśmy się w tym roku nowymi SUV-</w:t>
      </w:r>
      <w:proofErr w:type="spellStart"/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ami</w:t>
      </w:r>
      <w:proofErr w:type="spellEnd"/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 xml:space="preserve">, zagraliśmy więc główne role w kabinach Explorera Plug-In </w:t>
      </w:r>
      <w:proofErr w:type="spellStart"/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Hybrid</w:t>
      </w:r>
      <w:proofErr w:type="spellEnd"/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 xml:space="preserve"> i </w:t>
      </w:r>
      <w:proofErr w:type="spellStart"/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Kugi</w:t>
      </w:r>
      <w:proofErr w:type="spellEnd"/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, aby – podobnie jak m</w:t>
      </w: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 xml:space="preserve">odele Focus i Mondeo – mogły zdobyć 5-gwiazdkowe oceny bezpieczeństwa. </w:t>
      </w:r>
    </w:p>
    <w:p w:rsidR="004071E2" w:rsidRDefault="004071E2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</w:p>
    <w:p w:rsidR="004071E2" w:rsidRDefault="00081B14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Oznaczało to wiele nauki na temat systemów wspomagania kierowcy Forda, które pomagają zatrzymać samochód, kiedy wykryją pieszych lub parkujące pojazdy i korzystając z tempomatu w ruch</w:t>
      </w: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 xml:space="preserve">u ulicznym dostosowują prędkość do poprzedzających samochodów. Rozumiemy, dlaczego zespół Forda każe nam pracować tak ciężko. Nie musimy też dodawać, że świąteczna przerwa nie nadejdzie szybko! </w:t>
      </w:r>
    </w:p>
    <w:p w:rsidR="004071E2" w:rsidRDefault="004071E2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</w:p>
    <w:p w:rsidR="004071E2" w:rsidRDefault="00081B14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 xml:space="preserve">Jeśli chodzi o małego </w:t>
      </w:r>
      <w:proofErr w:type="spellStart"/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Johnny'ego</w:t>
      </w:r>
      <w:proofErr w:type="spellEnd"/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, ma się naprawdę dobrze. Je</w:t>
      </w: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 xml:space="preserve">śli kabina samochodu jest wykonana z użyciem stali borowej i </w:t>
      </w:r>
      <w:proofErr w:type="gramStart"/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ultra-wytrzymałych</w:t>
      </w:r>
      <w:proofErr w:type="gramEnd"/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 xml:space="preserve"> rur stalowych, uzyskiwanych w technologii trójwymiarowego zwijania i gięcia, chce się w niej siedzieć! Jego inżynier mówi, że jest naprawdę uzdolniony w kwestiach bezpieczeństw</w:t>
      </w: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a, więc nie możemy być bardziej dumni.</w:t>
      </w:r>
    </w:p>
    <w:p w:rsidR="004071E2" w:rsidRDefault="004071E2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</w:p>
    <w:p w:rsidR="004071E2" w:rsidRDefault="00081B14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Bądź pewny, że jazda do miejsca, w którym wybierasz się w te Święta Bożego Narodzenia, będzie naprawdę bezpieczna.</w:t>
      </w:r>
    </w:p>
    <w:p w:rsidR="004071E2" w:rsidRDefault="004071E2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</w:p>
    <w:p w:rsidR="004071E2" w:rsidRDefault="00081B14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Z pozdrowieniami,</w:t>
      </w:r>
    </w:p>
    <w:p w:rsidR="004071E2" w:rsidRDefault="004071E2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</w:p>
    <w:p w:rsidR="004071E2" w:rsidRDefault="00081B14">
      <w:pPr>
        <w:rPr>
          <w:rFonts w:ascii="MV Boli" w:hAnsi="MV Boli" w:cs="MV Boli"/>
          <w:color w:val="333333"/>
          <w:sz w:val="24"/>
          <w:shd w:val="clear" w:color="auto" w:fill="FFFFFF"/>
          <w:lang w:val="pl-PL"/>
        </w:rPr>
      </w:pP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 xml:space="preserve">Rodzina </w:t>
      </w:r>
      <w:r w:rsidR="00EE622C"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m</w:t>
      </w: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 xml:space="preserve">anekinów </w:t>
      </w:r>
      <w:r w:rsidR="00EE622C"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t</w:t>
      </w:r>
      <w:r>
        <w:rPr>
          <w:rFonts w:ascii="MV Boli" w:hAnsi="MV Boli" w:cs="MV Boli"/>
          <w:color w:val="333333"/>
          <w:sz w:val="24"/>
          <w:shd w:val="clear" w:color="auto" w:fill="FFFFFF"/>
          <w:lang w:val="pl-PL"/>
        </w:rPr>
        <w:t>estowych Forda</w:t>
      </w:r>
    </w:p>
    <w:p w:rsidR="004071E2" w:rsidRDefault="004071E2">
      <w:pPr>
        <w:rPr>
          <w:rFonts w:ascii="Arial" w:hAnsi="Arial" w:cs="Arial"/>
          <w:color w:val="333333"/>
          <w:sz w:val="22"/>
          <w:szCs w:val="22"/>
          <w:shd w:val="clear" w:color="auto" w:fill="FFFFFF"/>
          <w:lang w:val="pl-PL"/>
        </w:rPr>
      </w:pPr>
    </w:p>
    <w:p w:rsidR="004071E2" w:rsidRDefault="00081B14">
      <w:pPr>
        <w:jc w:val="center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# # #</w:t>
      </w:r>
    </w:p>
    <w:p w:rsidR="004071E2" w:rsidRDefault="004071E2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071E2" w:rsidRDefault="00081B14">
      <w:pPr>
        <w:autoSpaceDE w:val="0"/>
        <w:rPr>
          <w:rFonts w:ascii="Arial" w:hAnsi="Arial" w:cs="Arial"/>
          <w:b/>
          <w:bCs/>
          <w:i/>
          <w:iCs/>
          <w:szCs w:val="20"/>
          <w:lang w:val="pl-PL"/>
        </w:rPr>
      </w:pPr>
      <w:r>
        <w:rPr>
          <w:rFonts w:ascii="Arial" w:hAnsi="Arial" w:cs="Arial"/>
          <w:b/>
          <w:bCs/>
          <w:i/>
          <w:iCs/>
          <w:lang w:val="pl-PL"/>
        </w:rPr>
        <w:t>O Ford Motor Company</w:t>
      </w:r>
    </w:p>
    <w:p w:rsidR="004071E2" w:rsidRDefault="00081B14">
      <w:pPr>
        <w:autoSpaceDE w:val="0"/>
        <w:rPr>
          <w:rFonts w:ascii="Arial" w:hAnsi="Arial" w:cs="Arial"/>
          <w:i/>
          <w:iCs/>
          <w:sz w:val="22"/>
          <w:szCs w:val="22"/>
          <w:lang w:val="pl-PL"/>
        </w:rPr>
      </w:pPr>
      <w:r>
        <w:rPr>
          <w:rFonts w:ascii="Arial" w:hAnsi="Arial" w:cs="Arial"/>
          <w:i/>
          <w:iCs/>
          <w:lang w:val="pl-PL"/>
        </w:rPr>
        <w:t xml:space="preserve">Ford Motor Company z centralą w </w:t>
      </w:r>
      <w:proofErr w:type="spellStart"/>
      <w:r>
        <w:rPr>
          <w:rFonts w:ascii="Arial" w:hAnsi="Arial" w:cs="Arial"/>
          <w:i/>
          <w:iCs/>
          <w:lang w:val="pl-PL"/>
        </w:rPr>
        <w:t>Dearborn</w:t>
      </w:r>
      <w:proofErr w:type="spellEnd"/>
      <w:r>
        <w:rPr>
          <w:rFonts w:ascii="Arial" w:hAnsi="Arial" w:cs="Arial"/>
          <w:i/>
          <w:iCs/>
          <w:lang w:val="pl-PL"/>
        </w:rPr>
        <w:t xml:space="preserve"> w stanie Michigan w USA jest globalną marką oferującą samochody i usługi mobilne.  Firma zatrudnia około 191 tys. pracowników w zakładach na całym świecie, zajmując się projektowaniem, produkcją</w:t>
      </w:r>
      <w:r>
        <w:rPr>
          <w:rFonts w:ascii="Arial" w:hAnsi="Arial" w:cs="Arial"/>
          <w:i/>
          <w:iCs/>
          <w:lang w:val="pl-PL"/>
        </w:rPr>
        <w:t>, marketingiem, finansowaniem i serwisowaniem całej gamy samochodów osobowych, użytkowych oraz SUV-ów marki Ford i luksusowej marki Lincoln. Rozszerzając swoją działalność, Ford intensywnie pracuje i inwestuje w elektryfikację pojazdów, systemy autonomiczn</w:t>
      </w:r>
      <w:r>
        <w:rPr>
          <w:rFonts w:ascii="Arial" w:hAnsi="Arial" w:cs="Arial"/>
          <w:i/>
          <w:iCs/>
          <w:lang w:val="pl-PL"/>
        </w:rPr>
        <w:t xml:space="preserve">ej jazdy i rozwój mobilności. Firma świadczy usługi finansowe za pośrednictwem Ford Motor </w:t>
      </w:r>
      <w:proofErr w:type="spellStart"/>
      <w:r>
        <w:rPr>
          <w:rFonts w:ascii="Arial" w:hAnsi="Arial" w:cs="Arial"/>
          <w:i/>
          <w:iCs/>
          <w:lang w:val="pl-PL"/>
        </w:rPr>
        <w:t>Credit</w:t>
      </w:r>
      <w:proofErr w:type="spellEnd"/>
      <w:r>
        <w:rPr>
          <w:rFonts w:ascii="Arial" w:hAnsi="Arial" w:cs="Arial"/>
          <w:i/>
          <w:iCs/>
          <w:lang w:val="pl-PL"/>
        </w:rPr>
        <w:t xml:space="preserve"> Company. Więcej informacji na temat Forda, produktów firmy oraz oddziału Ford Motor </w:t>
      </w:r>
      <w:proofErr w:type="spellStart"/>
      <w:r>
        <w:rPr>
          <w:rFonts w:ascii="Arial" w:hAnsi="Arial" w:cs="Arial"/>
          <w:i/>
          <w:iCs/>
          <w:lang w:val="pl-PL"/>
        </w:rPr>
        <w:t>Credit</w:t>
      </w:r>
      <w:proofErr w:type="spellEnd"/>
      <w:r>
        <w:rPr>
          <w:rFonts w:ascii="Arial" w:hAnsi="Arial" w:cs="Arial"/>
          <w:i/>
          <w:iCs/>
          <w:lang w:val="pl-PL"/>
        </w:rPr>
        <w:t xml:space="preserve"> Company na stronie </w:t>
      </w:r>
      <w:hyperlink r:id="rId8">
        <w:r>
          <w:rPr>
            <w:rStyle w:val="czeinternetowe"/>
            <w:rFonts w:ascii="Arial" w:hAnsi="Arial" w:cs="Arial"/>
            <w:i/>
            <w:iCs/>
            <w:lang w:val="pl-PL"/>
          </w:rPr>
          <w:t>www.corporate.ford.com</w:t>
        </w:r>
      </w:hyperlink>
      <w:r>
        <w:rPr>
          <w:rFonts w:ascii="Arial" w:hAnsi="Arial" w:cs="Arial"/>
          <w:i/>
          <w:iCs/>
          <w:lang w:val="pl-PL"/>
        </w:rPr>
        <w:t xml:space="preserve">. </w:t>
      </w:r>
    </w:p>
    <w:p w:rsidR="004071E2" w:rsidRDefault="004071E2">
      <w:pPr>
        <w:autoSpaceDE w:val="0"/>
        <w:rPr>
          <w:rFonts w:ascii="Arial" w:hAnsi="Arial" w:cs="Arial"/>
          <w:i/>
          <w:iCs/>
          <w:sz w:val="22"/>
          <w:szCs w:val="22"/>
          <w:lang w:val="pl-PL"/>
        </w:rPr>
      </w:pPr>
    </w:p>
    <w:p w:rsidR="004071E2" w:rsidRDefault="00081B14">
      <w:pPr>
        <w:autoSpaceDE w:val="0"/>
        <w:rPr>
          <w:lang w:val="pl-PL"/>
        </w:rPr>
      </w:pPr>
      <w:r>
        <w:rPr>
          <w:rFonts w:ascii="Arial" w:hAnsi="Arial" w:cs="Arial"/>
          <w:b/>
          <w:bCs/>
          <w:i/>
          <w:iCs/>
          <w:lang w:val="pl-PL"/>
        </w:rPr>
        <w:lastRenderedPageBreak/>
        <w:t>Ford of Europe</w:t>
      </w:r>
      <w:r>
        <w:rPr>
          <w:rFonts w:ascii="Arial" w:hAnsi="Arial" w:cs="Arial"/>
          <w:i/>
          <w:iCs/>
          <w:lang w:val="pl-PL"/>
        </w:rPr>
        <w:t xml:space="preserve"> wytwarza, sprzedaje i serwisuje pojazdy marki Ford na 50 indywidualnych rynkach, zatrudniając około 47 tys. pracowników we własnych oddziałach i łącznie około 62 tys. osób, po uwzględnieniu spółek typu joint ventur</w:t>
      </w:r>
      <w:r>
        <w:rPr>
          <w:rFonts w:ascii="Arial" w:hAnsi="Arial" w:cs="Arial"/>
          <w:i/>
          <w:iCs/>
          <w:lang w:val="pl-PL"/>
        </w:rPr>
        <w:t xml:space="preserve">e oraz działalności nieskonsolidowanej. Oprócz spółki Ford Motor </w:t>
      </w:r>
      <w:proofErr w:type="spellStart"/>
      <w:r>
        <w:rPr>
          <w:rFonts w:ascii="Arial" w:hAnsi="Arial" w:cs="Arial"/>
          <w:i/>
          <w:iCs/>
          <w:lang w:val="pl-PL"/>
        </w:rPr>
        <w:t>Credit</w:t>
      </w:r>
      <w:proofErr w:type="spellEnd"/>
      <w:r>
        <w:rPr>
          <w:rFonts w:ascii="Arial" w:hAnsi="Arial" w:cs="Arial"/>
          <w:i/>
          <w:iCs/>
          <w:lang w:val="pl-PL"/>
        </w:rPr>
        <w:t xml:space="preserve"> Company, usługi firmy Ford of Europe obejmują dział Ford </w:t>
      </w:r>
      <w:proofErr w:type="spellStart"/>
      <w:r>
        <w:rPr>
          <w:rFonts w:ascii="Arial" w:hAnsi="Arial" w:cs="Arial"/>
          <w:i/>
          <w:iCs/>
          <w:lang w:val="pl-PL"/>
        </w:rPr>
        <w:t>Customer</w:t>
      </w:r>
      <w:proofErr w:type="spellEnd"/>
      <w:r>
        <w:rPr>
          <w:rFonts w:ascii="Arial" w:hAnsi="Arial" w:cs="Arial"/>
          <w:i/>
          <w:iCs/>
          <w:lang w:val="pl-PL"/>
        </w:rPr>
        <w:t xml:space="preserve"> Service </w:t>
      </w:r>
      <w:proofErr w:type="spellStart"/>
      <w:r>
        <w:rPr>
          <w:rFonts w:ascii="Arial" w:hAnsi="Arial" w:cs="Arial"/>
          <w:i/>
          <w:iCs/>
          <w:lang w:val="pl-PL"/>
        </w:rPr>
        <w:t>Division</w:t>
      </w:r>
      <w:proofErr w:type="spellEnd"/>
      <w:r>
        <w:rPr>
          <w:rFonts w:ascii="Arial" w:hAnsi="Arial" w:cs="Arial"/>
          <w:i/>
          <w:iCs/>
          <w:lang w:val="pl-PL"/>
        </w:rPr>
        <w:t xml:space="preserve"> oraz 19 oddziałów produkcyjnych (12 spółek całkowicie zależnych lub skonsolidowanych typu joint ventu</w:t>
      </w:r>
      <w:r>
        <w:rPr>
          <w:rFonts w:ascii="Arial" w:hAnsi="Arial" w:cs="Arial"/>
          <w:i/>
          <w:iCs/>
          <w:lang w:val="pl-PL"/>
        </w:rPr>
        <w:t>re oraz 7 nieskonsolidowanych typu joint venture). Pierwsze samochody marki Ford dotarły do Europy w 1903 roku – w tym samym roku powstała firma Ford Motor Company. Produkcja w Europie ruszyła w roku 1911.</w:t>
      </w:r>
    </w:p>
    <w:p w:rsidR="004071E2" w:rsidRDefault="004071E2">
      <w:pPr>
        <w:autoSpaceDE w:val="0"/>
        <w:rPr>
          <w:rFonts w:ascii="Arial" w:hAnsi="Arial" w:cs="Arial"/>
          <w:i/>
          <w:sz w:val="22"/>
          <w:szCs w:val="22"/>
          <w:lang w:val="pl-PL"/>
        </w:rPr>
      </w:pPr>
    </w:p>
    <w:tbl>
      <w:tblPr>
        <w:tblW w:w="25960" w:type="dxa"/>
        <w:tblLook w:val="0000" w:firstRow="0" w:lastRow="0" w:firstColumn="0" w:lastColumn="0" w:noHBand="0" w:noVBand="0"/>
      </w:tblPr>
      <w:tblGrid>
        <w:gridCol w:w="9577"/>
        <w:gridCol w:w="5461"/>
        <w:gridCol w:w="5461"/>
        <w:gridCol w:w="5461"/>
      </w:tblGrid>
      <w:tr w:rsidR="004071E2">
        <w:tc>
          <w:tcPr>
            <w:tcW w:w="1384" w:type="dxa"/>
            <w:shd w:val="clear" w:color="auto" w:fill="auto"/>
          </w:tcPr>
          <w:p w:rsidR="004071E2" w:rsidRDefault="004071E2">
            <w:pPr>
              <w:autoSpaceDE w:val="0"/>
              <w:rPr>
                <w:rFonts w:ascii="Arial" w:hAnsi="Arial" w:cs="Arial"/>
                <w:b/>
                <w:szCs w:val="20"/>
                <w:lang w:val="pl-PL"/>
              </w:rPr>
            </w:pPr>
          </w:p>
          <w:p w:rsidR="006B75EB" w:rsidRDefault="006B75EB">
            <w:pPr>
              <w:autoSpaceDE w:val="0"/>
              <w:rPr>
                <w:rFonts w:ascii="Arial" w:hAnsi="Arial" w:cs="Arial"/>
                <w:b/>
                <w:szCs w:val="20"/>
                <w:lang w:val="pl-PL"/>
              </w:rPr>
            </w:pPr>
            <w:r w:rsidRPr="006B75EB">
              <w:rPr>
                <w:rFonts w:ascii="Arial" w:hAnsi="Arial" w:cs="Arial"/>
                <w:b/>
                <w:noProof/>
                <w:szCs w:val="20"/>
                <w:lang w:val="pl-PL"/>
              </w:rPr>
              <w:drawing>
                <wp:inline distT="0" distB="0" distL="0" distR="0">
                  <wp:extent cx="5943600" cy="6381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2" w:type="dxa"/>
            <w:shd w:val="clear" w:color="auto" w:fill="auto"/>
          </w:tcPr>
          <w:p w:rsidR="004071E2" w:rsidRDefault="004071E2">
            <w:pPr>
              <w:autoSpaceDE w:val="0"/>
              <w:rPr>
                <w:rFonts w:ascii="Arial" w:hAnsi="Arial" w:cs="Arial"/>
                <w:szCs w:val="20"/>
                <w:lang w:val="pl-PL"/>
              </w:rPr>
            </w:pPr>
          </w:p>
        </w:tc>
        <w:tc>
          <w:tcPr>
            <w:tcW w:w="8192" w:type="dxa"/>
            <w:shd w:val="clear" w:color="auto" w:fill="auto"/>
          </w:tcPr>
          <w:p w:rsidR="004071E2" w:rsidRDefault="004071E2">
            <w:pPr>
              <w:autoSpaceDE w:val="0"/>
              <w:snapToGrid w:val="0"/>
              <w:rPr>
                <w:rFonts w:ascii="Arial" w:hAnsi="Arial" w:cs="Arial"/>
                <w:szCs w:val="20"/>
                <w:lang w:val="pl-PL"/>
              </w:rPr>
            </w:pPr>
          </w:p>
        </w:tc>
        <w:tc>
          <w:tcPr>
            <w:tcW w:w="8192" w:type="dxa"/>
            <w:shd w:val="clear" w:color="auto" w:fill="auto"/>
          </w:tcPr>
          <w:p w:rsidR="004071E2" w:rsidRDefault="004071E2">
            <w:pPr>
              <w:autoSpaceDE w:val="0"/>
              <w:snapToGrid w:val="0"/>
              <w:rPr>
                <w:rFonts w:ascii="Arial" w:hAnsi="Arial" w:cs="Arial"/>
                <w:szCs w:val="20"/>
                <w:lang w:val="pl-PL"/>
              </w:rPr>
            </w:pPr>
          </w:p>
        </w:tc>
      </w:tr>
      <w:tr w:rsidR="004071E2">
        <w:tc>
          <w:tcPr>
            <w:tcW w:w="1384" w:type="dxa"/>
            <w:shd w:val="clear" w:color="auto" w:fill="auto"/>
          </w:tcPr>
          <w:p w:rsidR="004071E2" w:rsidRDefault="004071E2">
            <w:pPr>
              <w:autoSpaceDE w:val="0"/>
              <w:snapToGrid w:val="0"/>
              <w:rPr>
                <w:rFonts w:ascii="Arial" w:hAnsi="Arial" w:cs="Arial"/>
                <w:i/>
                <w:sz w:val="22"/>
                <w:szCs w:val="20"/>
                <w:lang w:val="pl-PL"/>
              </w:rPr>
            </w:pPr>
          </w:p>
        </w:tc>
        <w:tc>
          <w:tcPr>
            <w:tcW w:w="8192" w:type="dxa"/>
            <w:shd w:val="clear" w:color="auto" w:fill="auto"/>
          </w:tcPr>
          <w:p w:rsidR="004071E2" w:rsidRDefault="004071E2">
            <w:pPr>
              <w:autoSpaceDE w:val="0"/>
              <w:rPr>
                <w:rFonts w:ascii="Arial" w:hAnsi="Arial" w:cs="Arial"/>
                <w:szCs w:val="20"/>
                <w:lang w:val="pl-PL"/>
              </w:rPr>
            </w:pPr>
          </w:p>
        </w:tc>
        <w:tc>
          <w:tcPr>
            <w:tcW w:w="8192" w:type="dxa"/>
            <w:shd w:val="clear" w:color="auto" w:fill="auto"/>
          </w:tcPr>
          <w:p w:rsidR="004071E2" w:rsidRDefault="004071E2">
            <w:pPr>
              <w:autoSpaceDE w:val="0"/>
              <w:snapToGrid w:val="0"/>
              <w:rPr>
                <w:rFonts w:ascii="Arial" w:hAnsi="Arial" w:cs="Arial"/>
                <w:szCs w:val="20"/>
                <w:lang w:val="pl-PL"/>
              </w:rPr>
            </w:pPr>
          </w:p>
        </w:tc>
        <w:tc>
          <w:tcPr>
            <w:tcW w:w="8192" w:type="dxa"/>
            <w:shd w:val="clear" w:color="auto" w:fill="auto"/>
          </w:tcPr>
          <w:p w:rsidR="004071E2" w:rsidRDefault="004071E2">
            <w:pPr>
              <w:autoSpaceDE w:val="0"/>
              <w:snapToGrid w:val="0"/>
              <w:rPr>
                <w:rFonts w:ascii="Arial" w:hAnsi="Arial" w:cs="Arial"/>
                <w:szCs w:val="20"/>
                <w:lang w:val="pl-PL"/>
              </w:rPr>
            </w:pPr>
          </w:p>
        </w:tc>
      </w:tr>
      <w:tr w:rsidR="004071E2">
        <w:tc>
          <w:tcPr>
            <w:tcW w:w="1384" w:type="dxa"/>
            <w:shd w:val="clear" w:color="auto" w:fill="auto"/>
          </w:tcPr>
          <w:p w:rsidR="004071E2" w:rsidRDefault="004071E2">
            <w:pPr>
              <w:autoSpaceDE w:val="0"/>
              <w:snapToGrid w:val="0"/>
              <w:rPr>
                <w:rFonts w:ascii="Arial" w:hAnsi="Arial" w:cs="Arial"/>
                <w:i/>
                <w:sz w:val="22"/>
                <w:szCs w:val="20"/>
                <w:lang w:val="pl-PL"/>
              </w:rPr>
            </w:pPr>
          </w:p>
        </w:tc>
        <w:tc>
          <w:tcPr>
            <w:tcW w:w="8192" w:type="dxa"/>
            <w:shd w:val="clear" w:color="auto" w:fill="auto"/>
          </w:tcPr>
          <w:p w:rsidR="004071E2" w:rsidRDefault="004071E2">
            <w:pPr>
              <w:autoSpaceDE w:val="0"/>
              <w:rPr>
                <w:rFonts w:ascii="Arial" w:hAnsi="Arial" w:cs="Arial"/>
                <w:szCs w:val="20"/>
                <w:lang w:val="pl-PL"/>
              </w:rPr>
            </w:pPr>
          </w:p>
        </w:tc>
        <w:tc>
          <w:tcPr>
            <w:tcW w:w="8192" w:type="dxa"/>
            <w:shd w:val="clear" w:color="auto" w:fill="auto"/>
          </w:tcPr>
          <w:p w:rsidR="004071E2" w:rsidRDefault="004071E2">
            <w:pPr>
              <w:autoSpaceDE w:val="0"/>
              <w:snapToGrid w:val="0"/>
              <w:rPr>
                <w:rFonts w:ascii="Arial" w:hAnsi="Arial" w:cs="Arial"/>
                <w:szCs w:val="20"/>
                <w:lang w:val="pl-PL"/>
              </w:rPr>
            </w:pPr>
          </w:p>
        </w:tc>
        <w:tc>
          <w:tcPr>
            <w:tcW w:w="8192" w:type="dxa"/>
            <w:shd w:val="clear" w:color="auto" w:fill="auto"/>
          </w:tcPr>
          <w:p w:rsidR="004071E2" w:rsidRDefault="004071E2">
            <w:pPr>
              <w:autoSpaceDE w:val="0"/>
              <w:snapToGrid w:val="0"/>
              <w:rPr>
                <w:rFonts w:ascii="Arial" w:hAnsi="Arial" w:cs="Arial"/>
                <w:szCs w:val="20"/>
                <w:lang w:val="pl-PL"/>
              </w:rPr>
            </w:pPr>
          </w:p>
        </w:tc>
      </w:tr>
      <w:tr w:rsidR="004071E2" w:rsidTr="006B75EB">
        <w:trPr>
          <w:trHeight w:val="377"/>
        </w:trPr>
        <w:tc>
          <w:tcPr>
            <w:tcW w:w="1384" w:type="dxa"/>
            <w:shd w:val="clear" w:color="auto" w:fill="auto"/>
          </w:tcPr>
          <w:p w:rsidR="004071E2" w:rsidRDefault="004071E2">
            <w:pPr>
              <w:autoSpaceDE w:val="0"/>
              <w:snapToGrid w:val="0"/>
              <w:rPr>
                <w:rFonts w:ascii="Arial" w:hAnsi="Arial" w:cs="Arial"/>
                <w:i/>
                <w:sz w:val="22"/>
                <w:szCs w:val="20"/>
                <w:lang w:val="pl-PL"/>
              </w:rPr>
            </w:pPr>
          </w:p>
        </w:tc>
        <w:tc>
          <w:tcPr>
            <w:tcW w:w="8192" w:type="dxa"/>
            <w:shd w:val="clear" w:color="auto" w:fill="auto"/>
          </w:tcPr>
          <w:p w:rsidR="004071E2" w:rsidRDefault="004071E2">
            <w:pPr>
              <w:autoSpaceDE w:val="0"/>
              <w:rPr>
                <w:rFonts w:ascii="Arial" w:hAnsi="Arial" w:cs="Arial"/>
                <w:szCs w:val="20"/>
                <w:lang w:val="pl-PL"/>
              </w:rPr>
            </w:pPr>
          </w:p>
        </w:tc>
        <w:tc>
          <w:tcPr>
            <w:tcW w:w="8192" w:type="dxa"/>
            <w:shd w:val="clear" w:color="auto" w:fill="auto"/>
          </w:tcPr>
          <w:p w:rsidR="004071E2" w:rsidRDefault="004071E2">
            <w:pPr>
              <w:autoSpaceDE w:val="0"/>
              <w:snapToGrid w:val="0"/>
              <w:rPr>
                <w:rFonts w:ascii="Arial" w:hAnsi="Arial" w:cs="Arial"/>
                <w:szCs w:val="20"/>
                <w:lang w:val="pl-PL"/>
              </w:rPr>
            </w:pPr>
          </w:p>
        </w:tc>
        <w:tc>
          <w:tcPr>
            <w:tcW w:w="8192" w:type="dxa"/>
            <w:shd w:val="clear" w:color="auto" w:fill="auto"/>
          </w:tcPr>
          <w:p w:rsidR="004071E2" w:rsidRDefault="004071E2">
            <w:pPr>
              <w:autoSpaceDE w:val="0"/>
              <w:snapToGrid w:val="0"/>
              <w:rPr>
                <w:rFonts w:ascii="Arial" w:hAnsi="Arial" w:cs="Arial"/>
                <w:szCs w:val="20"/>
                <w:lang w:val="pl-PL"/>
              </w:rPr>
            </w:pPr>
          </w:p>
        </w:tc>
      </w:tr>
    </w:tbl>
    <w:p w:rsidR="004071E2" w:rsidRDefault="004071E2">
      <w:pPr>
        <w:autoSpaceDE w:val="0"/>
        <w:rPr>
          <w:rFonts w:ascii="Arial" w:hAnsi="Arial" w:cs="Arial"/>
          <w:i/>
          <w:sz w:val="2"/>
          <w:szCs w:val="2"/>
          <w:lang w:val="pl-PL"/>
        </w:rPr>
      </w:pPr>
    </w:p>
    <w:sectPr w:rsidR="004071E2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864" w:left="1440" w:header="720" w:footer="432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1B14" w:rsidRDefault="00081B14">
      <w:r>
        <w:separator/>
      </w:r>
    </w:p>
  </w:endnote>
  <w:endnote w:type="continuationSeparator" w:id="0">
    <w:p w:rsidR="00081B14" w:rsidRDefault="00081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Pro-BdEx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1E2" w:rsidRDefault="006B75EB">
    <w:pPr>
      <w:pStyle w:val="Stopka"/>
      <w:rPr>
        <w:sz w:val="2"/>
        <w:lang w:val="pl-PL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Ramka3" o:spid="_x0000_s2051" type="#_x0000_t202" style="position:absolute;margin-left:0;margin-top:.05pt;width:5.05pt;height:11.45pt;z-index:3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" stroked="f">
          <v:fill opacity="0"/>
          <v:textbox>
            <w:txbxContent>
              <w:p w:rsidR="004071E2" w:rsidRDefault="00081B14">
                <w:pPr>
                  <w:pStyle w:val="Stopka"/>
                  <w:rPr>
                    <w:rStyle w:val="Numerstron"/>
                    <w:lang w:val="pl-PL"/>
                  </w:rPr>
                </w:pPr>
                <w:r>
                  <w:rPr>
                    <w:rStyle w:val="Numerstron"/>
                    <w:lang w:val="pl-PL"/>
                  </w:rP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type="square" side="largest" anchorx="margin"/>
        </v:shape>
      </w:pict>
    </w:r>
  </w:p>
  <w:tbl>
    <w:tblPr>
      <w:tblW w:w="11256" w:type="dxa"/>
      <w:tblLook w:val="0000" w:firstRow="0" w:lastRow="0" w:firstColumn="0" w:lastColumn="0" w:noHBand="0" w:noVBand="0"/>
    </w:tblPr>
    <w:tblGrid>
      <w:gridCol w:w="9468"/>
      <w:gridCol w:w="1788"/>
    </w:tblGrid>
    <w:tr w:rsidR="004071E2" w:rsidRPr="006B75EB">
      <w:tc>
        <w:tcPr>
          <w:tcW w:w="9468" w:type="dxa"/>
          <w:shd w:val="clear" w:color="auto" w:fill="auto"/>
        </w:tcPr>
        <w:p w:rsidR="004071E2" w:rsidRDefault="004071E2">
          <w:pPr>
            <w:pStyle w:val="Stopka"/>
            <w:snapToGrid w:val="0"/>
            <w:jc w:val="center"/>
            <w:rPr>
              <w:rFonts w:ascii="Arial" w:hAnsi="Arial" w:cs="Arial"/>
              <w:lang w:val="pl-PL"/>
            </w:rPr>
          </w:pPr>
        </w:p>
        <w:p w:rsidR="004071E2" w:rsidRDefault="004071E2">
          <w:pPr>
            <w:pStyle w:val="Stopka"/>
            <w:jc w:val="center"/>
            <w:rPr>
              <w:rFonts w:ascii="Arial" w:hAnsi="Arial" w:cs="Arial"/>
              <w:lang w:val="pl-PL"/>
            </w:rPr>
          </w:pPr>
        </w:p>
        <w:p w:rsidR="004071E2" w:rsidRDefault="00081B14">
          <w:pPr>
            <w:jc w:val="center"/>
            <w:rPr>
              <w:lang w:val="pl-PL"/>
            </w:rPr>
          </w:pPr>
          <w:r>
            <w:rPr>
              <w:rFonts w:ascii="Arial" w:eastAsia="Calibri" w:hAnsi="Arial" w:cs="Arial"/>
              <w:color w:val="000000"/>
              <w:sz w:val="18"/>
              <w:szCs w:val="18"/>
              <w:lang w:val="pl-PL"/>
            </w:rPr>
            <w:t xml:space="preserve">Więcej informacji prasowych, powiązanych materiałów oraz zdjęć i filmów w wysokiej rozdzielczości można znaleźć na stronie internetowej </w:t>
          </w:r>
          <w:hyperlink r:id="rId1">
            <w:r>
              <w:rPr>
                <w:rStyle w:val="czeinternetowe"/>
                <w:rFonts w:ascii="Arial" w:eastAsia="Calibri" w:hAnsi="Arial" w:cs="Arial"/>
                <w:sz w:val="18"/>
                <w:szCs w:val="18"/>
                <w:lang w:val="pl-PL"/>
              </w:rPr>
              <w:t>www.fordmedia.eu</w:t>
            </w:r>
          </w:hyperlink>
          <w:r>
            <w:rPr>
              <w:rFonts w:ascii="Arial" w:eastAsia="Calibri" w:hAnsi="Arial" w:cs="Arial"/>
              <w:color w:val="000000"/>
              <w:sz w:val="18"/>
              <w:szCs w:val="18"/>
              <w:lang w:val="pl-PL"/>
            </w:rPr>
            <w:t xml:space="preserve"> lub </w:t>
          </w:r>
          <w:hyperlink r:id="rId2">
            <w:r>
              <w:rPr>
                <w:rStyle w:val="czeinternetowe"/>
                <w:rFonts w:ascii="Arial" w:eastAsia="Calibri" w:hAnsi="Arial" w:cs="Arial"/>
                <w:sz w:val="18"/>
                <w:szCs w:val="18"/>
                <w:lang w:val="pl-PL"/>
              </w:rPr>
              <w:t>www.media</w:t>
            </w:r>
            <w:r>
              <w:rPr>
                <w:rStyle w:val="czeinternetowe"/>
                <w:rFonts w:ascii="Arial" w:eastAsia="Calibri" w:hAnsi="Arial" w:cs="Arial"/>
                <w:sz w:val="18"/>
                <w:szCs w:val="18"/>
                <w:lang w:val="pl-PL"/>
              </w:rPr>
              <w:t>.ford.com</w:t>
            </w:r>
          </w:hyperlink>
          <w:r>
            <w:rPr>
              <w:rFonts w:ascii="Arial" w:eastAsia="Calibri" w:hAnsi="Arial" w:cs="Arial"/>
              <w:color w:val="000000"/>
              <w:sz w:val="18"/>
              <w:szCs w:val="18"/>
              <w:lang w:val="pl-PL"/>
            </w:rPr>
            <w:t xml:space="preserve">. </w:t>
          </w:r>
        </w:p>
        <w:p w:rsidR="004071E2" w:rsidRDefault="00081B14">
          <w:pPr>
            <w:pStyle w:val="Stopka"/>
            <w:jc w:val="center"/>
            <w:rPr>
              <w:lang w:val="pl-PL"/>
            </w:rPr>
          </w:pPr>
          <w:r>
            <w:rPr>
              <w:rFonts w:ascii="Arial" w:eastAsia="Calibri" w:hAnsi="Arial" w:cs="Arial"/>
              <w:color w:val="000000"/>
              <w:sz w:val="18"/>
              <w:szCs w:val="18"/>
              <w:lang w:val="pl-PL"/>
            </w:rPr>
            <w:t xml:space="preserve">Śledź nas na: </w:t>
          </w:r>
          <w:hyperlink r:id="rId3">
            <w:r>
              <w:rPr>
                <w:rStyle w:val="czeinternetowe"/>
                <w:rFonts w:ascii="Arial" w:eastAsia="Calibri" w:hAnsi="Arial" w:cs="Arial"/>
                <w:sz w:val="18"/>
                <w:szCs w:val="18"/>
                <w:lang w:val="pl-PL"/>
              </w:rPr>
              <w:t>www.twitter.com/FordEu</w:t>
            </w:r>
          </w:hyperlink>
          <w:r>
            <w:rPr>
              <w:rFonts w:ascii="Arial" w:eastAsia="Calibri" w:hAnsi="Arial" w:cs="Arial"/>
              <w:color w:val="000000"/>
              <w:sz w:val="18"/>
              <w:szCs w:val="18"/>
              <w:lang w:val="pl-PL"/>
            </w:rPr>
            <w:t xml:space="preserve"> lub </w:t>
          </w:r>
          <w:hyperlink r:id="rId4">
            <w:r>
              <w:rPr>
                <w:rStyle w:val="czeinternetowe"/>
                <w:rFonts w:ascii="Arial" w:eastAsia="Calibri" w:hAnsi="Arial" w:cs="Arial"/>
                <w:sz w:val="18"/>
                <w:szCs w:val="18"/>
                <w:lang w:val="pl-PL"/>
              </w:rPr>
              <w:t>www.youtube.com/fordofeurope</w:t>
            </w:r>
          </w:hyperlink>
        </w:p>
      </w:tc>
      <w:tc>
        <w:tcPr>
          <w:tcW w:w="1788" w:type="dxa"/>
          <w:shd w:val="clear" w:color="auto" w:fill="auto"/>
        </w:tcPr>
        <w:p w:rsidR="004071E2" w:rsidRDefault="004071E2">
          <w:pPr>
            <w:pStyle w:val="Stopka"/>
            <w:snapToGrid w:val="0"/>
            <w:rPr>
              <w:lang w:val="pl-PL"/>
            </w:rPr>
          </w:pPr>
        </w:p>
      </w:tc>
    </w:tr>
  </w:tbl>
  <w:p w:rsidR="004071E2" w:rsidRDefault="004071E2">
    <w:pPr>
      <w:pStyle w:val="Stopka"/>
      <w:rPr>
        <w:lang w:val="pl-P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1E2" w:rsidRDefault="004071E2">
    <w:pPr>
      <w:pStyle w:val="Stopka"/>
      <w:jc w:val="center"/>
      <w:rPr>
        <w:lang w:val="pl-PL"/>
      </w:rPr>
    </w:pPr>
  </w:p>
  <w:p w:rsidR="004071E2" w:rsidRDefault="004071E2">
    <w:pPr>
      <w:pStyle w:val="Stopka"/>
      <w:jc w:val="center"/>
      <w:rPr>
        <w:lang w:val="pl-PL"/>
      </w:rPr>
    </w:pPr>
  </w:p>
  <w:p w:rsidR="004071E2" w:rsidRDefault="00081B14">
    <w:pPr>
      <w:jc w:val="center"/>
      <w:rPr>
        <w:lang w:val="pl-PL"/>
      </w:rPr>
    </w:pPr>
    <w:r>
      <w:rPr>
        <w:rFonts w:ascii="Arial" w:eastAsia="Calibri" w:hAnsi="Arial" w:cs="Arial"/>
        <w:color w:val="000000"/>
        <w:sz w:val="18"/>
        <w:szCs w:val="18"/>
        <w:lang w:val="pl-PL"/>
      </w:rPr>
      <w:t xml:space="preserve">Więcej informacji prasowych, powiązanych materiałów oraz zdjęć i filmów w wysokiej rozdzielczości można znaleźć na stronie internetowej </w:t>
    </w:r>
    <w:hyperlink r:id="rId1">
      <w:r>
        <w:rPr>
          <w:rStyle w:val="czeinternetowe"/>
          <w:rFonts w:ascii="Arial" w:eastAsia="Calibri" w:hAnsi="Arial" w:cs="Arial"/>
          <w:sz w:val="18"/>
          <w:szCs w:val="18"/>
          <w:lang w:val="pl-PL"/>
        </w:rPr>
        <w:t>www.fordmedia.eu</w:t>
      </w:r>
    </w:hyperlink>
    <w:r>
      <w:rPr>
        <w:rFonts w:ascii="Arial" w:eastAsia="Calibri" w:hAnsi="Arial" w:cs="Arial"/>
        <w:color w:val="000000"/>
        <w:sz w:val="18"/>
        <w:szCs w:val="18"/>
        <w:lang w:val="pl-PL"/>
      </w:rPr>
      <w:t xml:space="preserve"> lub </w:t>
    </w:r>
    <w:hyperlink r:id="rId2">
      <w:r>
        <w:rPr>
          <w:rStyle w:val="czeinternetowe"/>
          <w:rFonts w:ascii="Arial" w:eastAsia="Calibri" w:hAnsi="Arial" w:cs="Arial"/>
          <w:sz w:val="18"/>
          <w:szCs w:val="18"/>
          <w:lang w:val="pl-PL"/>
        </w:rPr>
        <w:t>www.media</w:t>
      </w:r>
      <w:r>
        <w:rPr>
          <w:rStyle w:val="czeinternetowe"/>
          <w:rFonts w:ascii="Arial" w:eastAsia="Calibri" w:hAnsi="Arial" w:cs="Arial"/>
          <w:sz w:val="18"/>
          <w:szCs w:val="18"/>
          <w:lang w:val="pl-PL"/>
        </w:rPr>
        <w:t>.ford.com</w:t>
      </w:r>
    </w:hyperlink>
    <w:r>
      <w:rPr>
        <w:rFonts w:ascii="Arial" w:eastAsia="Calibri" w:hAnsi="Arial" w:cs="Arial"/>
        <w:color w:val="000000"/>
        <w:sz w:val="18"/>
        <w:szCs w:val="18"/>
        <w:lang w:val="pl-PL"/>
      </w:rPr>
      <w:t xml:space="preserve">. </w:t>
    </w:r>
  </w:p>
  <w:p w:rsidR="004071E2" w:rsidRDefault="00081B14">
    <w:pPr>
      <w:pStyle w:val="Stopka"/>
      <w:jc w:val="center"/>
      <w:rPr>
        <w:lang w:val="pl-PL"/>
      </w:rPr>
    </w:pPr>
    <w:r>
      <w:rPr>
        <w:rFonts w:ascii="Arial" w:eastAsia="Calibri" w:hAnsi="Arial" w:cs="Arial"/>
        <w:color w:val="000000"/>
        <w:sz w:val="18"/>
        <w:szCs w:val="18"/>
        <w:lang w:val="pl-PL"/>
      </w:rPr>
      <w:t xml:space="preserve">Śledź nas na: </w:t>
    </w:r>
    <w:hyperlink r:id="rId3">
      <w:r>
        <w:rPr>
          <w:rStyle w:val="czeinternetowe"/>
          <w:rFonts w:ascii="Arial" w:eastAsia="Calibri" w:hAnsi="Arial" w:cs="Arial"/>
          <w:sz w:val="18"/>
          <w:szCs w:val="18"/>
          <w:lang w:val="pl-PL"/>
        </w:rPr>
        <w:t>www.twitter.com/FordEu</w:t>
      </w:r>
    </w:hyperlink>
    <w:r>
      <w:rPr>
        <w:rFonts w:ascii="Arial" w:eastAsia="Calibri" w:hAnsi="Arial" w:cs="Arial"/>
        <w:color w:val="000000"/>
        <w:sz w:val="18"/>
        <w:szCs w:val="18"/>
        <w:lang w:val="pl-PL"/>
      </w:rPr>
      <w:t xml:space="preserve"> lub </w:t>
    </w:r>
    <w:hyperlink r:id="rId4">
      <w:r>
        <w:rPr>
          <w:rStyle w:val="czeinternetowe"/>
          <w:rFonts w:ascii="Arial" w:eastAsia="Calibri" w:hAnsi="Arial" w:cs="Arial"/>
          <w:sz w:val="18"/>
          <w:szCs w:val="18"/>
          <w:lang w:val="pl-PL"/>
        </w:rPr>
        <w:t>www.youtube.com/fordofeurope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1B14" w:rsidRDefault="00081B14">
      <w:r>
        <w:separator/>
      </w:r>
    </w:p>
  </w:footnote>
  <w:footnote w:type="continuationSeparator" w:id="0">
    <w:p w:rsidR="00081B14" w:rsidRDefault="00081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1E2" w:rsidRDefault="004071E2">
    <w:pPr>
      <w:pStyle w:val="Gw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71E2" w:rsidRDefault="00081B14">
    <w:pPr>
      <w:pStyle w:val="Gwka"/>
      <w:tabs>
        <w:tab w:val="left" w:pos="1483"/>
        <w:tab w:val="left" w:pos="2525"/>
      </w:tabs>
      <w:ind w:left="227"/>
      <w:rPr>
        <w:lang w:val="pl-PL"/>
      </w:rPr>
    </w:pPr>
    <w:r>
      <w:rPr>
        <w:noProof/>
      </w:rPr>
      <w:drawing>
        <wp:anchor distT="0" distB="0" distL="114935" distR="114935" simplePos="0" relativeHeight="9" behindDoc="0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-90170</wp:posOffset>
          </wp:positionV>
          <wp:extent cx="1098550" cy="546100"/>
          <wp:effectExtent l="0" t="0" r="0" b="0"/>
          <wp:wrapSquare wrapText="bothSides"/>
          <wp:docPr id="2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ook Antiqua" w:hAnsi="Book Antiqua" w:cs="Book Antiqua"/>
        <w:smallCaps/>
        <w:position w:val="48"/>
        <w:sz w:val="48"/>
        <w:szCs w:val="48"/>
        <w:lang w:val="pl-PL"/>
      </w:rPr>
      <w:t xml:space="preserve">   NEWS     </w:t>
    </w:r>
    <w:r>
      <w:rPr>
        <w:rFonts w:ascii="Book Antiqua" w:hAnsi="Book Antiqua" w:cs="Book Antiqua"/>
        <w:smallCaps/>
        <w:position w:val="48"/>
        <w:sz w:val="48"/>
        <w:szCs w:val="48"/>
        <w:lang w:val="pl-PL"/>
      </w:rPr>
      <w:tab/>
    </w:r>
    <w:r>
      <w:rPr>
        <w:rFonts w:ascii="Book Antiqua" w:hAnsi="Book Antiqua" w:cs="Book Antiqua"/>
        <w:smallCaps/>
        <w:position w:val="48"/>
        <w:sz w:val="48"/>
        <w:szCs w:val="48"/>
        <w:lang w:val="pl-PL"/>
      </w:rPr>
      <w:tab/>
    </w:r>
    <w:r w:rsidR="006B75E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Ramka2" o:spid="_x0000_s2050" type="#_x0000_t202" style="position:absolute;left:0;text-align:left;margin-left:336pt;margin-top:1.85pt;width:84.75pt;height:40.15pt;z-index:4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" stroked="f">
          <v:fill opacity="0"/>
          <v:textbox inset=".05pt,.05pt,.05pt,.05pt">
            <w:txbxContent>
              <w:p w:rsidR="004071E2" w:rsidRDefault="00081B14">
                <w:pPr>
                  <w:rPr>
                    <w:rFonts w:ascii="Arial" w:hAnsi="Arial" w:cs="Arial"/>
                    <w:sz w:val="12"/>
                    <w:szCs w:val="12"/>
                    <w:lang w:val="pl-PL"/>
                  </w:rPr>
                </w:pPr>
                <w:r>
                  <w:rPr>
                    <w:rFonts w:ascii="Arial" w:hAnsi="Arial" w:cs="Arial"/>
                    <w:noProof/>
                    <w:sz w:val="18"/>
                    <w:szCs w:val="18"/>
                    <w:lang w:val="pl-PL"/>
                  </w:rPr>
                  <w:drawing>
                    <wp:inline distT="0" distB="0" distL="0" distR="0">
                      <wp:extent cx="672465" cy="260985"/>
                      <wp:effectExtent l="0" t="0" r="0" b="0"/>
                      <wp:docPr id="4" name="Obraz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Obraz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2465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hAnsi="Arial" w:cs="Arial"/>
                    <w:sz w:val="18"/>
                    <w:szCs w:val="18"/>
                    <w:lang w:val="pl-PL"/>
                  </w:rPr>
                  <w:br/>
                </w:r>
                <w:r>
                  <w:rPr>
                    <w:rFonts w:ascii="Arial" w:hAnsi="Arial" w:cs="Arial"/>
                    <w:sz w:val="4"/>
                    <w:szCs w:val="4"/>
                    <w:lang w:val="pl-PL"/>
                  </w:rPr>
                  <w:br/>
                </w:r>
                <w:r>
                  <w:rPr>
                    <w:rFonts w:ascii="Arial" w:hAnsi="Arial" w:cs="Arial"/>
                    <w:sz w:val="4"/>
                    <w:szCs w:val="4"/>
                    <w:lang w:val="pl-PL"/>
                  </w:rPr>
                  <w:br/>
                </w:r>
                <w:hyperlink r:id="rId3">
                  <w:r>
                    <w:rPr>
                      <w:rStyle w:val="czeinternetowe"/>
                      <w:rFonts w:ascii="Arial" w:hAnsi="Arial" w:cs="Arial"/>
                      <w:sz w:val="12"/>
                      <w:szCs w:val="12"/>
                      <w:lang w:val="pl-PL"/>
                    </w:rPr>
                    <w:t>www.youtube.com/fordofeurope</w:t>
                  </w:r>
                </w:hyperlink>
              </w:p>
              <w:p w:rsidR="004071E2" w:rsidRDefault="004071E2">
                <w:pPr>
                  <w:rPr>
                    <w:rFonts w:ascii="Arial" w:hAnsi="Arial" w:cs="Arial"/>
                    <w:sz w:val="12"/>
                    <w:szCs w:val="12"/>
                    <w:lang w:val="pl-PL"/>
                  </w:rPr>
                </w:pPr>
              </w:p>
              <w:p w:rsidR="004071E2" w:rsidRDefault="004071E2">
                <w:pPr>
                  <w:pStyle w:val="Stopka"/>
                  <w:tabs>
                    <w:tab w:val="center" w:pos="630"/>
                    <w:tab w:val="center" w:pos="1890"/>
                  </w:tabs>
                  <w:jc w:val="center"/>
                  <w:rPr>
                    <w:rFonts w:ascii="Arial" w:hAnsi="Arial" w:cs="Arial"/>
                    <w:sz w:val="18"/>
                    <w:szCs w:val="18"/>
                    <w:lang w:val="pl-PL"/>
                  </w:rPr>
                </w:pPr>
              </w:p>
            </w:txbxContent>
          </v:textbox>
          <w10:wrap type="square"/>
        </v:shape>
      </w:pict>
    </w:r>
    <w:r w:rsidR="006B75EB">
      <w:rPr>
        <w:noProof/>
      </w:rPr>
      <w:pict>
        <v:shape id="Ramka1" o:spid="_x0000_s2049" type="#_x0000_t202" style="position:absolute;left:0;text-align:left;margin-left:432.95pt;margin-top:1.85pt;width:65.6pt;height:40.8pt;z-index:6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" stroked="f">
          <v:fill opacity="0"/>
          <v:textbox inset=".05pt,.05pt,.05pt,.05pt">
            <w:txbxContent>
              <w:p w:rsidR="004071E2" w:rsidRDefault="00081B14">
                <w:pPr>
                  <w:pStyle w:val="Stopka"/>
                  <w:tabs>
                    <w:tab w:val="center" w:pos="1890"/>
                  </w:tabs>
                  <w:jc w:val="center"/>
                  <w:rPr>
                    <w:rFonts w:ascii="Arial" w:hAnsi="Arial" w:cs="Arial"/>
                    <w:sz w:val="18"/>
                    <w:szCs w:val="18"/>
                    <w:lang w:val="pl-PL"/>
                  </w:rPr>
                </w:pPr>
                <w:r>
                  <w:rPr>
                    <w:rFonts w:ascii="Arial" w:hAnsi="Arial" w:cs="Arial"/>
                    <w:noProof/>
                    <w:sz w:val="18"/>
                    <w:szCs w:val="18"/>
                    <w:lang w:val="pl-PL"/>
                  </w:rPr>
                  <w:drawing>
                    <wp:inline distT="0" distB="0" distL="0" distR="0">
                      <wp:extent cx="298450" cy="298450"/>
                      <wp:effectExtent l="0" t="0" r="0" b="0"/>
                      <wp:docPr id="7" name="Obraz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Obraz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84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4071E2" w:rsidRDefault="00081B14">
                <w:pPr>
                  <w:rPr>
                    <w:rFonts w:ascii="Arial" w:hAnsi="Arial" w:cs="Arial"/>
                    <w:sz w:val="12"/>
                    <w:szCs w:val="12"/>
                    <w:lang w:val="pl-PL"/>
                  </w:rPr>
                </w:pPr>
                <w:r>
                  <w:rPr>
                    <w:rFonts w:ascii="Arial" w:eastAsia="Calibri" w:hAnsi="Arial" w:cs="Arial"/>
                    <w:color w:val="0000FF"/>
                    <w:sz w:val="4"/>
                    <w:szCs w:val="4"/>
                    <w:u w:val="single"/>
                    <w:lang w:val="pl-PL"/>
                  </w:rPr>
                  <w:br/>
                </w:r>
                <w:hyperlink r:id="rId5">
                  <w:r>
                    <w:rPr>
                      <w:rStyle w:val="czeinternetowe"/>
                      <w:rFonts w:ascii="Arial" w:eastAsia="Calibri" w:hAnsi="Arial" w:cs="Arial"/>
                      <w:sz w:val="12"/>
                      <w:szCs w:val="12"/>
                      <w:lang w:val="pl-PL"/>
                    </w:rPr>
                    <w:t>www.twitter.com/FordEu</w:t>
                  </w:r>
                </w:hyperlink>
              </w:p>
              <w:p w:rsidR="004071E2" w:rsidRDefault="004071E2">
                <w:pPr>
                  <w:pStyle w:val="Stopka"/>
                  <w:tabs>
                    <w:tab w:val="center" w:pos="1890"/>
                  </w:tabs>
                  <w:spacing w:before="60"/>
                  <w:jc w:val="center"/>
                  <w:rPr>
                    <w:rFonts w:ascii="Arial" w:hAnsi="Arial" w:cs="Arial"/>
                    <w:sz w:val="18"/>
                    <w:szCs w:val="18"/>
                    <w:lang w:val="pl-PL"/>
                  </w:rPr>
                </w:pPr>
              </w:p>
              <w:p w:rsidR="004071E2" w:rsidRDefault="004071E2">
                <w:pPr>
                  <w:rPr>
                    <w:rFonts w:ascii="Arial" w:hAnsi="Arial" w:cs="Arial"/>
                    <w:sz w:val="18"/>
                    <w:szCs w:val="18"/>
                    <w:lang w:val="pl-PL"/>
                  </w:rPr>
                </w:pPr>
              </w:p>
              <w:p w:rsidR="004071E2" w:rsidRDefault="00081B14">
                <w:pPr>
                  <w:rPr>
                    <w:rFonts w:ascii="Arial" w:hAnsi="Arial" w:cs="Arial"/>
                    <w:sz w:val="12"/>
                    <w:szCs w:val="12"/>
                    <w:lang w:val="pl-PL"/>
                  </w:rPr>
                </w:pPr>
                <w:r>
                  <w:rPr>
                    <w:rFonts w:ascii="Arial" w:hAnsi="Arial" w:cs="Arial"/>
                    <w:noProof/>
                    <w:sz w:val="18"/>
                    <w:szCs w:val="18"/>
                    <w:lang w:val="pl-PL"/>
                  </w:rPr>
                  <w:drawing>
                    <wp:inline distT="0" distB="0" distL="0" distR="0">
                      <wp:extent cx="672465" cy="260985"/>
                      <wp:effectExtent l="0" t="0" r="0" b="0"/>
                      <wp:docPr id="8" name="Obraz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2465" cy="260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="Arial" w:hAnsi="Arial" w:cs="Arial"/>
                    <w:sz w:val="18"/>
                    <w:szCs w:val="18"/>
                    <w:lang w:val="pl-PL"/>
                  </w:rPr>
                  <w:br/>
                </w:r>
                <w:r>
                  <w:rPr>
                    <w:rFonts w:ascii="Arial" w:hAnsi="Arial" w:cs="Arial"/>
                    <w:sz w:val="4"/>
                    <w:szCs w:val="4"/>
                    <w:lang w:val="pl-PL"/>
                  </w:rPr>
                  <w:br/>
                </w:r>
                <w:r>
                  <w:rPr>
                    <w:rFonts w:ascii="Arial" w:hAnsi="Arial" w:cs="Arial"/>
                    <w:sz w:val="4"/>
                    <w:szCs w:val="4"/>
                    <w:lang w:val="pl-PL"/>
                  </w:rPr>
                  <w:br/>
                </w:r>
                <w:hyperlink r:id="rId6">
                  <w:r>
                    <w:rPr>
                      <w:rStyle w:val="czeinternetowe"/>
                      <w:rFonts w:ascii="Arial" w:hAnsi="Arial" w:cs="Arial"/>
                      <w:sz w:val="12"/>
                      <w:szCs w:val="12"/>
                      <w:lang w:val="pl-PL"/>
                    </w:rPr>
                    <w:t>www.youtube.com/fordofeurope</w:t>
                  </w:r>
                </w:hyperlink>
              </w:p>
              <w:p w:rsidR="004071E2" w:rsidRDefault="004071E2">
                <w:pPr>
                  <w:rPr>
                    <w:rFonts w:ascii="Arial" w:hAnsi="Arial" w:cs="Arial"/>
                    <w:sz w:val="12"/>
                    <w:szCs w:val="12"/>
                    <w:lang w:val="pl-PL"/>
                  </w:rPr>
                </w:pP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1525B"/>
    <w:multiLevelType w:val="multilevel"/>
    <w:tmpl w:val="70724FBA"/>
    <w:lvl w:ilvl="0">
      <w:start w:val="1"/>
      <w:numFmt w:val="none"/>
      <w:pStyle w:val="Nagwek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071E2"/>
    <w:rsid w:val="00081B14"/>
    <w:rsid w:val="004071E2"/>
    <w:rsid w:val="006B75EB"/>
    <w:rsid w:val="00EE6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0115C4F0"/>
  <w15:docId w15:val="{4DD8D398-E276-4830-8DE8-92CE0F507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Arial Unicode MS" w:hAnsi="Calibri" w:cs="Arial Unicode MS"/>
        <w:sz w:val="24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Times New Roman" w:eastAsia="Times New Roman" w:hAnsi="Times New Roman" w:cs="Times New Roman"/>
      <w:sz w:val="20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ormal"/>
    <w:next w:val="Normal"/>
    <w:pPr>
      <w:keepNext/>
      <w:numPr>
        <w:numId w:val="1"/>
      </w:numPr>
      <w:outlineLvl w:val="0"/>
    </w:pPr>
    <w:rPr>
      <w:b/>
      <w:bCs/>
      <w:sz w:val="24"/>
      <w:u w:val="single"/>
    </w:rPr>
  </w:style>
  <w:style w:type="paragraph" w:customStyle="1" w:styleId="Nagwek2">
    <w:name w:val="Nagłówek 2"/>
    <w:basedOn w:val="Nagwek"/>
    <w:next w:val="Tretekstu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customStyle="1" w:styleId="Nagwek3">
    <w:name w:val="Nagłówek 3"/>
    <w:basedOn w:val="Nagwek"/>
    <w:next w:val="Tretekstu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4">
    <w:name w:val="WW8Num4z4"/>
    <w:qFormat/>
    <w:rPr>
      <w:rFonts w:ascii="Courier New" w:hAnsi="Courier New" w:cs="Times New Roman"/>
    </w:rPr>
  </w:style>
  <w:style w:type="character" w:customStyle="1" w:styleId="WW8Num5z0">
    <w:name w:val="WW8Num5z0"/>
    <w:qFormat/>
    <w:rPr>
      <w:rFonts w:ascii="Symbol" w:hAnsi="Symbol" w:cs="Symbol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  <w:color w:val="000000"/>
      <w:sz w:val="20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Numerstron">
    <w:name w:val="Numer stron"/>
    <w:basedOn w:val="DefaultParagraphFont"/>
  </w:style>
  <w:style w:type="character" w:customStyle="1" w:styleId="czeinternetowe">
    <w:name w:val="Łącze internetowe"/>
    <w:rPr>
      <w:color w:val="0000FF"/>
      <w:u w:val="single"/>
    </w:rPr>
  </w:style>
  <w:style w:type="character" w:styleId="CommentReference">
    <w:name w:val="annotation reference"/>
    <w:qFormat/>
    <w:rPr>
      <w:sz w:val="16"/>
      <w:szCs w:val="16"/>
    </w:rPr>
  </w:style>
  <w:style w:type="character" w:customStyle="1" w:styleId="BodyText2Char">
    <w:name w:val="Body Text 2 Char"/>
    <w:qFormat/>
    <w:rPr>
      <w:sz w:val="24"/>
      <w:lang w:val="en-US" w:bidi="ar-SA"/>
    </w:rPr>
  </w:style>
  <w:style w:type="character" w:customStyle="1" w:styleId="Odwiedzoneczeinternetowe">
    <w:name w:val="Odwiedzone łącze internetowe"/>
    <w:rPr>
      <w:color w:val="606420"/>
      <w:u w:val="single"/>
    </w:rPr>
  </w:style>
  <w:style w:type="character" w:customStyle="1" w:styleId="boldblack">
    <w:name w:val="bold black"/>
    <w:qFormat/>
    <w:rPr>
      <w:rFonts w:ascii="HelveticaNeueLTPro-BdEx" w:hAnsi="HelveticaNeueLTPro-BdEx" w:cs="HelveticaNeueLTPro-BdEx"/>
      <w:b/>
      <w:bCs w:val="0"/>
      <w:color w:val="000000"/>
    </w:rPr>
  </w:style>
  <w:style w:type="character" w:customStyle="1" w:styleId="PlainTextChar">
    <w:name w:val="Plain Text Char"/>
    <w:qFormat/>
    <w:rPr>
      <w:rFonts w:ascii="Courier New" w:hAnsi="Courier New" w:cs="Courier New"/>
    </w:rPr>
  </w:style>
  <w:style w:type="character" w:customStyle="1" w:styleId="FooterChar">
    <w:name w:val="Footer Char"/>
    <w:qFormat/>
    <w:rPr>
      <w:szCs w:val="24"/>
      <w:lang w:val="en-GB"/>
    </w:rPr>
  </w:style>
  <w:style w:type="paragraph" w:customStyle="1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;Arial" w:eastAsia="Arial Unicode MS" w:hAnsi="Liberation Sans;Arial" w:cs="Arial Unicode MS"/>
      <w:sz w:val="28"/>
      <w:szCs w:val="28"/>
    </w:rPr>
  </w:style>
  <w:style w:type="paragraph" w:customStyle="1" w:styleId="Tretekstu">
    <w:name w:val="Treść tekstu"/>
    <w:basedOn w:val="Normal"/>
    <w:pPr>
      <w:spacing w:after="140" w:line="288" w:lineRule="auto"/>
    </w:pPr>
  </w:style>
  <w:style w:type="paragraph" w:customStyle="1" w:styleId="Lista">
    <w:name w:val="Lista"/>
    <w:basedOn w:val="Tretekstu"/>
    <w:rPr>
      <w:rFonts w:ascii="Century" w:hAnsi="Century"/>
    </w:rPr>
  </w:style>
  <w:style w:type="paragraph" w:customStyle="1" w:styleId="Podpis">
    <w:name w:val="Podpis"/>
    <w:basedOn w:val="Normal"/>
    <w:pPr>
      <w:suppressLineNumbers/>
      <w:spacing w:before="120" w:after="120"/>
    </w:pPr>
    <w:rPr>
      <w:rFonts w:ascii="Century" w:hAnsi="Century"/>
      <w:i/>
      <w:iCs/>
      <w:sz w:val="24"/>
    </w:rPr>
  </w:style>
  <w:style w:type="paragraph" w:customStyle="1" w:styleId="Indeks">
    <w:name w:val="Indeks"/>
    <w:basedOn w:val="Normal"/>
    <w:qFormat/>
    <w:pPr>
      <w:suppressLineNumbers/>
    </w:pPr>
    <w:rPr>
      <w:rFonts w:ascii="Century" w:hAnsi="Century"/>
    </w:rPr>
  </w:style>
  <w:style w:type="paragraph" w:customStyle="1" w:styleId="Gwka">
    <w:name w:val="Główka"/>
    <w:basedOn w:val="Normal"/>
    <w:pPr>
      <w:tabs>
        <w:tab w:val="center" w:pos="4320"/>
        <w:tab w:val="right" w:pos="8640"/>
      </w:tabs>
    </w:pPr>
  </w:style>
  <w:style w:type="paragraph" w:customStyle="1" w:styleId="Stopka">
    <w:name w:val="Stopka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qFormat/>
    <w:pPr>
      <w:spacing w:line="360" w:lineRule="auto"/>
    </w:pPr>
    <w:rPr>
      <w:sz w:val="24"/>
      <w:szCs w:val="20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qFormat/>
    <w:rPr>
      <w:szCs w:val="20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paragraph" w:styleId="ListParagraph">
    <w:name w:val="List Paragraph"/>
    <w:basedOn w:val="Normal"/>
    <w:qFormat/>
    <w:pPr>
      <w:ind w:left="720"/>
    </w:pPr>
  </w:style>
  <w:style w:type="paragraph" w:customStyle="1" w:styleId="Default">
    <w:name w:val="Default"/>
    <w:qFormat/>
    <w:pPr>
      <w:suppressAutoHyphens/>
      <w:autoSpaceDE w:val="0"/>
    </w:pPr>
    <w:rPr>
      <w:rFonts w:ascii="Arial" w:eastAsia="Times New Roman" w:hAnsi="Arial" w:cs="Arial"/>
      <w:color w:val="000000"/>
      <w:lang w:val="en-GB" w:bidi="ar-SA"/>
    </w:rPr>
  </w:style>
  <w:style w:type="paragraph" w:styleId="Revision">
    <w:name w:val="Revision"/>
    <w:qFormat/>
    <w:pPr>
      <w:suppressAutoHyphens/>
    </w:pPr>
    <w:rPr>
      <w:rFonts w:ascii="Times New Roman" w:eastAsia="Times New Roman" w:hAnsi="Times New Roman" w:cs="Times New Roman"/>
      <w:sz w:val="20"/>
      <w:lang w:val="en-GB" w:bidi="ar-SA"/>
    </w:rPr>
  </w:style>
  <w:style w:type="paragraph" w:styleId="NormalWeb">
    <w:name w:val="Normal (Web)"/>
    <w:basedOn w:val="Normal"/>
    <w:qFormat/>
    <w:pPr>
      <w:spacing w:before="280" w:after="280"/>
    </w:pPr>
    <w:rPr>
      <w:sz w:val="24"/>
    </w:rPr>
  </w:style>
  <w:style w:type="paragraph" w:styleId="PlainText">
    <w:name w:val="Plain Text"/>
    <w:basedOn w:val="Normal"/>
    <w:qFormat/>
    <w:rPr>
      <w:rFonts w:ascii="Courier New" w:hAnsi="Courier New" w:cs="Courier New"/>
      <w:szCs w:val="20"/>
    </w:rPr>
  </w:style>
  <w:style w:type="paragraph" w:customStyle="1" w:styleId="Zawartotabeli">
    <w:name w:val="Zawartość tabeli"/>
    <w:basedOn w:val="Normal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Zawartoramki">
    <w:name w:val="Zawartość ramki"/>
    <w:basedOn w:val="Normal"/>
    <w:qFormat/>
  </w:style>
  <w:style w:type="paragraph" w:customStyle="1" w:styleId="Cytaty">
    <w:name w:val="Cytaty"/>
    <w:basedOn w:val="Normal"/>
    <w:qFormat/>
    <w:pPr>
      <w:spacing w:after="283"/>
      <w:ind w:left="567" w:right="567"/>
    </w:pPr>
  </w:style>
  <w:style w:type="paragraph" w:customStyle="1" w:styleId="Tytu">
    <w:name w:val="Tytuł"/>
    <w:basedOn w:val="Nagwek"/>
    <w:next w:val="Tretekstu"/>
    <w:pPr>
      <w:jc w:val="center"/>
    </w:pPr>
    <w:rPr>
      <w:b/>
      <w:bCs/>
      <w:sz w:val="56"/>
      <w:szCs w:val="56"/>
    </w:rPr>
  </w:style>
  <w:style w:type="paragraph" w:customStyle="1" w:styleId="Podtytu">
    <w:name w:val="Podtytuł"/>
    <w:basedOn w:val="Nagwek"/>
    <w:next w:val="Tretekstu"/>
    <w:pPr>
      <w:spacing w:before="60"/>
      <w:jc w:val="center"/>
    </w:pPr>
    <w:rPr>
      <w:sz w:val="36"/>
      <w:szCs w:val="36"/>
    </w:rPr>
  </w:style>
  <w:style w:type="numbering" w:customStyle="1" w:styleId="WW8Num1">
    <w:name w:val="WW8Num1"/>
  </w:style>
  <w:style w:type="numbering" w:customStyle="1" w:styleId="WW8Num2">
    <w:name w:val="WW8Num2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5">
    <w:name w:val="WW8Num5"/>
  </w:style>
  <w:style w:type="numbering" w:customStyle="1" w:styleId="WW8Num6">
    <w:name w:val="WW8Num6"/>
  </w:style>
  <w:style w:type="numbering" w:customStyle="1" w:styleId="WW8Num7">
    <w:name w:val="WW8Num7"/>
  </w:style>
  <w:style w:type="numbering" w:customStyle="1" w:styleId="WW8Num8">
    <w:name w:val="WW8Num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rporate.ford.com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itter.com/FordEu" TargetMode="External"/><Relationship Id="rId2" Type="http://schemas.openxmlformats.org/officeDocument/2006/relationships/hyperlink" Target="http://www.media.ford.com/" TargetMode="External"/><Relationship Id="rId1" Type="http://schemas.openxmlformats.org/officeDocument/2006/relationships/hyperlink" Target="http://www.fordmedia.eu/" TargetMode="External"/><Relationship Id="rId4" Type="http://schemas.openxmlformats.org/officeDocument/2006/relationships/hyperlink" Target="http://www.youtube.com/fordofeurope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witter.com/FordEu" TargetMode="External"/><Relationship Id="rId2" Type="http://schemas.openxmlformats.org/officeDocument/2006/relationships/hyperlink" Target="http://www.media.ford.com/" TargetMode="External"/><Relationship Id="rId1" Type="http://schemas.openxmlformats.org/officeDocument/2006/relationships/hyperlink" Target="http://www.fordmedia.eu/" TargetMode="External"/><Relationship Id="rId4" Type="http://schemas.openxmlformats.org/officeDocument/2006/relationships/hyperlink" Target="http://www.youtube.com/fordofeurope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youtube.com/fordofeurope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hyperlink" Target="http://www.youtube.com/fordofeurope" TargetMode="External"/><Relationship Id="rId5" Type="http://schemas.openxmlformats.org/officeDocument/2006/relationships/hyperlink" Target="http://www.twitter.com/FordEu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479</Words>
  <Characters>2874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Golebiowski, Andrzej (A.)</cp:lastModifiedBy>
  <cp:revision>3</cp:revision>
  <dcterms:created xsi:type="dcterms:W3CDTF">2019-12-18T10:58:00Z</dcterms:created>
  <dcterms:modified xsi:type="dcterms:W3CDTF">2019-12-18T10:59:00Z</dcterms:modified>
  <dc:language>pl-PL</dc:language>
</cp:coreProperties>
</file>